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3F713" w14:textId="1616E184" w:rsidR="00F4279E" w:rsidRPr="00AD5462" w:rsidRDefault="008410F2" w:rsidP="00AD5462">
      <w:pPr>
        <w:spacing w:line="360" w:lineRule="auto"/>
        <w:rPr>
          <w:rFonts w:asciiTheme="majorBidi" w:hAnsiTheme="majorBidi" w:cstheme="majorBidi"/>
          <w:sz w:val="24"/>
          <w:szCs w:val="24"/>
        </w:rPr>
      </w:pPr>
      <w:r w:rsidRPr="00AD5462">
        <w:rPr>
          <w:rFonts w:asciiTheme="majorBidi" w:hAnsiTheme="majorBidi" w:cstheme="majorBidi"/>
          <w:sz w:val="24"/>
          <w:szCs w:val="24"/>
        </w:rPr>
        <w:t xml:space="preserve">Appendix </w:t>
      </w:r>
      <w:r w:rsidR="00C228E9">
        <w:rPr>
          <w:rFonts w:asciiTheme="majorBidi" w:hAnsiTheme="majorBidi" w:cstheme="majorBidi"/>
          <w:sz w:val="24"/>
          <w:szCs w:val="24"/>
        </w:rPr>
        <w:t>3</w:t>
      </w:r>
      <w:r w:rsidRPr="00AD5462">
        <w:rPr>
          <w:rFonts w:asciiTheme="majorBidi" w:hAnsiTheme="majorBidi" w:cstheme="majorBidi"/>
          <w:sz w:val="24"/>
          <w:szCs w:val="24"/>
        </w:rPr>
        <w:t xml:space="preserve"> Abraham’s Chronology according to </w:t>
      </w:r>
      <w:r w:rsidR="00C228E9">
        <w:rPr>
          <w:rFonts w:asciiTheme="majorBidi" w:hAnsiTheme="majorBidi" w:cstheme="majorBidi"/>
          <w:sz w:val="24"/>
          <w:szCs w:val="24"/>
        </w:rPr>
        <w:t xml:space="preserve">modified </w:t>
      </w:r>
      <w:r w:rsidRPr="00AD5462">
        <w:rPr>
          <w:rFonts w:asciiTheme="majorBidi" w:hAnsiTheme="majorBidi" w:cstheme="majorBidi"/>
          <w:sz w:val="24"/>
          <w:szCs w:val="24"/>
        </w:rPr>
        <w:t>Boeckh timeline</w:t>
      </w:r>
    </w:p>
    <w:p w14:paraId="2776BFB4" w14:textId="6DC2805F" w:rsidR="008410F2" w:rsidRDefault="008410F2" w:rsidP="00AD5462">
      <w:pPr>
        <w:spacing w:line="360" w:lineRule="auto"/>
        <w:rPr>
          <w:rFonts w:asciiTheme="majorBidi" w:hAnsiTheme="majorBidi" w:cstheme="majorBidi"/>
          <w:sz w:val="24"/>
          <w:szCs w:val="24"/>
        </w:rPr>
      </w:pPr>
      <w:r w:rsidRPr="00AD5462">
        <w:rPr>
          <w:rFonts w:asciiTheme="majorBidi" w:hAnsiTheme="majorBidi" w:cstheme="majorBidi"/>
          <w:sz w:val="24"/>
          <w:szCs w:val="24"/>
        </w:rPr>
        <w:t xml:space="preserve">In this sequence king Sethenes or Senedj ruled Egypt from 5308 to 5267 B.C. </w:t>
      </w:r>
      <w:r w:rsidR="00AD5462" w:rsidRPr="00AD5462">
        <w:rPr>
          <w:rFonts w:asciiTheme="majorBidi" w:hAnsiTheme="majorBidi" w:cstheme="majorBidi"/>
          <w:sz w:val="24"/>
          <w:szCs w:val="24"/>
        </w:rPr>
        <w:t xml:space="preserve">Salbama, the </w:t>
      </w:r>
      <w:r w:rsidR="00AD5462">
        <w:rPr>
          <w:rFonts w:asciiTheme="majorBidi" w:hAnsiTheme="majorBidi" w:cstheme="majorBidi"/>
          <w:sz w:val="24"/>
          <w:szCs w:val="24"/>
        </w:rPr>
        <w:t>supposed oppressor of Abaraham in Babylon started ruling in 5260 B.C. according to the chosen chronology. Here there is a slight mismatch because the model assumes some overlap between the two monarchs. Nevertheless, according to Petrie’s estimate we can allow a reduction of one century from the Boeckh’s model to correct for the mismatch. We don’t know exactly the source of the variation but the Petrie’s and Boeckh’s models eventually coincide in the 12</w:t>
      </w:r>
      <w:r w:rsidR="00AD5462" w:rsidRPr="00AD5462">
        <w:rPr>
          <w:rFonts w:asciiTheme="majorBidi" w:hAnsiTheme="majorBidi" w:cstheme="majorBidi"/>
          <w:sz w:val="24"/>
          <w:szCs w:val="24"/>
          <w:vertAlign w:val="superscript"/>
        </w:rPr>
        <w:t>th</w:t>
      </w:r>
      <w:r w:rsidR="00AD5462">
        <w:rPr>
          <w:rFonts w:asciiTheme="majorBidi" w:hAnsiTheme="majorBidi" w:cstheme="majorBidi"/>
          <w:sz w:val="24"/>
          <w:szCs w:val="24"/>
        </w:rPr>
        <w:t xml:space="preserve"> dynasty</w:t>
      </w:r>
      <w:r w:rsidR="001767F5">
        <w:rPr>
          <w:rStyle w:val="FootnoteReference"/>
          <w:rFonts w:asciiTheme="majorBidi" w:hAnsiTheme="majorBidi" w:cstheme="majorBidi"/>
          <w:sz w:val="24"/>
          <w:szCs w:val="24"/>
        </w:rPr>
        <w:footnoteReference w:id="1"/>
      </w:r>
      <w:r w:rsidR="00AD5462">
        <w:rPr>
          <w:rFonts w:asciiTheme="majorBidi" w:hAnsiTheme="majorBidi" w:cstheme="majorBidi"/>
          <w:sz w:val="24"/>
          <w:szCs w:val="24"/>
        </w:rPr>
        <w:t xml:space="preserve">. </w:t>
      </w:r>
      <w:r w:rsidR="001767F5">
        <w:rPr>
          <w:rFonts w:asciiTheme="majorBidi" w:hAnsiTheme="majorBidi" w:cstheme="majorBidi"/>
          <w:sz w:val="24"/>
          <w:szCs w:val="24"/>
        </w:rPr>
        <w:t>Therefore,</w:t>
      </w:r>
      <w:r w:rsidR="00AD5462">
        <w:rPr>
          <w:rFonts w:asciiTheme="majorBidi" w:hAnsiTheme="majorBidi" w:cstheme="majorBidi"/>
          <w:sz w:val="24"/>
          <w:szCs w:val="24"/>
        </w:rPr>
        <w:t xml:space="preserve"> we shall take Senedj to rule from 5208 to 5167 B.C. </w:t>
      </w:r>
      <w:r w:rsidR="00DF6312">
        <w:rPr>
          <w:rFonts w:asciiTheme="majorBidi" w:hAnsiTheme="majorBidi" w:cstheme="majorBidi"/>
          <w:sz w:val="24"/>
          <w:szCs w:val="24"/>
        </w:rPr>
        <w:t xml:space="preserve">Hence if Abraham was born in the 1st year of Salbama’s reign 5260 B.C., he would be </w:t>
      </w:r>
      <w:r w:rsidR="00C7122C">
        <w:rPr>
          <w:rFonts w:asciiTheme="majorBidi" w:hAnsiTheme="majorBidi" w:cstheme="majorBidi"/>
          <w:sz w:val="24"/>
          <w:szCs w:val="24"/>
        </w:rPr>
        <w:t>52</w:t>
      </w:r>
      <w:r w:rsidR="00DF6312">
        <w:rPr>
          <w:rFonts w:asciiTheme="majorBidi" w:hAnsiTheme="majorBidi" w:cstheme="majorBidi"/>
          <w:sz w:val="24"/>
          <w:szCs w:val="24"/>
        </w:rPr>
        <w:t xml:space="preserve"> years</w:t>
      </w:r>
      <w:r w:rsidR="00C7122C">
        <w:rPr>
          <w:rFonts w:asciiTheme="majorBidi" w:hAnsiTheme="majorBidi" w:cstheme="majorBidi"/>
          <w:sz w:val="24"/>
          <w:szCs w:val="24"/>
        </w:rPr>
        <w:t xml:space="preserve"> in the</w:t>
      </w:r>
      <w:r w:rsidR="00DF6312">
        <w:rPr>
          <w:rFonts w:asciiTheme="majorBidi" w:hAnsiTheme="majorBidi" w:cstheme="majorBidi"/>
          <w:sz w:val="24"/>
          <w:szCs w:val="24"/>
        </w:rPr>
        <w:t xml:space="preserve"> </w:t>
      </w:r>
      <w:r w:rsidR="00C7122C">
        <w:rPr>
          <w:rFonts w:asciiTheme="majorBidi" w:hAnsiTheme="majorBidi" w:cstheme="majorBidi"/>
          <w:sz w:val="24"/>
          <w:szCs w:val="24"/>
        </w:rPr>
        <w:t>1</w:t>
      </w:r>
      <w:r w:rsidR="00C7122C" w:rsidRPr="00C7122C">
        <w:rPr>
          <w:rFonts w:asciiTheme="majorBidi" w:hAnsiTheme="majorBidi" w:cstheme="majorBidi"/>
          <w:sz w:val="24"/>
          <w:szCs w:val="24"/>
          <w:vertAlign w:val="superscript"/>
        </w:rPr>
        <w:t>st</w:t>
      </w:r>
      <w:r w:rsidR="00C7122C">
        <w:rPr>
          <w:rFonts w:asciiTheme="majorBidi" w:hAnsiTheme="majorBidi" w:cstheme="majorBidi"/>
          <w:sz w:val="24"/>
          <w:szCs w:val="24"/>
        </w:rPr>
        <w:t xml:space="preserve"> </w:t>
      </w:r>
      <w:r w:rsidR="00DF6312">
        <w:rPr>
          <w:rFonts w:asciiTheme="majorBidi" w:hAnsiTheme="majorBidi" w:cstheme="majorBidi"/>
          <w:sz w:val="24"/>
          <w:szCs w:val="24"/>
        </w:rPr>
        <w:t>year of Senedj’s reign</w:t>
      </w:r>
      <w:r w:rsidR="00C7122C">
        <w:rPr>
          <w:rFonts w:asciiTheme="majorBidi" w:hAnsiTheme="majorBidi" w:cstheme="majorBidi"/>
          <w:sz w:val="24"/>
          <w:szCs w:val="24"/>
        </w:rPr>
        <w:t xml:space="preserve"> and Sarah 42 years, which is a good time for their encounter.</w:t>
      </w:r>
      <w:r w:rsidR="00DF6312">
        <w:rPr>
          <w:rFonts w:asciiTheme="majorBidi" w:hAnsiTheme="majorBidi" w:cstheme="majorBidi"/>
          <w:sz w:val="24"/>
          <w:szCs w:val="24"/>
        </w:rPr>
        <w:t xml:space="preserve"> </w:t>
      </w:r>
      <w:r w:rsidR="00C7122C">
        <w:rPr>
          <w:rFonts w:asciiTheme="majorBidi" w:hAnsiTheme="majorBidi" w:cstheme="majorBidi"/>
          <w:sz w:val="24"/>
          <w:szCs w:val="24"/>
        </w:rPr>
        <w:t xml:space="preserve">Isaac was born when Abraham reached100 years, that is 5160 B.C. Jacob was born when Isaac reached 60 years, that is 5100 B.C. Joseph was born when Jacob reached 91 years, that is </w:t>
      </w:r>
      <w:r w:rsidR="00B9268F">
        <w:rPr>
          <w:rFonts w:asciiTheme="majorBidi" w:hAnsiTheme="majorBidi" w:cstheme="majorBidi"/>
          <w:sz w:val="24"/>
          <w:szCs w:val="24"/>
        </w:rPr>
        <w:t xml:space="preserve">5009 B.C. </w:t>
      </w:r>
      <w:r w:rsidR="00E26A09">
        <w:rPr>
          <w:rFonts w:asciiTheme="majorBidi" w:hAnsiTheme="majorBidi" w:cstheme="majorBidi"/>
          <w:sz w:val="24"/>
          <w:szCs w:val="24"/>
        </w:rPr>
        <w:t xml:space="preserve">King Djoser ruled from 5119 B.C. according to Boeckh, or 5019 B.C. after reduction. This allows Joseph to be contemporary with Djoser if we consider the slightly exaggerated periods from </w:t>
      </w:r>
      <w:r w:rsidR="00BB30CC">
        <w:rPr>
          <w:rFonts w:asciiTheme="majorBidi" w:hAnsiTheme="majorBidi" w:cstheme="majorBidi"/>
          <w:sz w:val="24"/>
          <w:szCs w:val="24"/>
        </w:rPr>
        <w:t>Abraham</w:t>
      </w:r>
      <w:r w:rsidR="00E26A09">
        <w:rPr>
          <w:rFonts w:asciiTheme="majorBidi" w:hAnsiTheme="majorBidi" w:cstheme="majorBidi"/>
          <w:sz w:val="24"/>
          <w:szCs w:val="24"/>
        </w:rPr>
        <w:t xml:space="preserve"> to Joseph. </w:t>
      </w:r>
    </w:p>
    <w:p w14:paraId="19C45929" w14:textId="4017247D" w:rsidR="003016EA" w:rsidRPr="00AD5462" w:rsidRDefault="003016EA" w:rsidP="00AD5462">
      <w:pPr>
        <w:spacing w:line="360" w:lineRule="auto"/>
        <w:rPr>
          <w:rFonts w:asciiTheme="majorBidi" w:hAnsiTheme="majorBidi" w:cstheme="majorBidi"/>
          <w:sz w:val="24"/>
          <w:szCs w:val="24"/>
        </w:rPr>
      </w:pPr>
      <w:r>
        <w:rPr>
          <w:rFonts w:asciiTheme="majorBidi" w:hAnsiTheme="majorBidi" w:cstheme="majorBidi"/>
          <w:sz w:val="24"/>
          <w:szCs w:val="24"/>
        </w:rPr>
        <w:t>This model is also more compatible with climatic draught period between 5300 and 5100 B.C. which encompasses Salbama’s and Senedj’s reigns</w:t>
      </w:r>
      <w:r w:rsidR="00ED44E5">
        <w:rPr>
          <w:rFonts w:asciiTheme="majorBidi" w:hAnsiTheme="majorBidi" w:cstheme="majorBidi"/>
          <w:sz w:val="24"/>
          <w:szCs w:val="24"/>
        </w:rPr>
        <w:t xml:space="preserve">, thus inline with the narrative of Abraham </w:t>
      </w:r>
      <w:r w:rsidR="00D13A2D">
        <w:rPr>
          <w:rFonts w:asciiTheme="majorBidi" w:hAnsiTheme="majorBidi" w:cstheme="majorBidi"/>
          <w:sz w:val="24"/>
          <w:szCs w:val="24"/>
        </w:rPr>
        <w:t xml:space="preserve">travelling from land to land </w:t>
      </w:r>
      <w:r w:rsidR="00ED44E5">
        <w:rPr>
          <w:rFonts w:asciiTheme="majorBidi" w:hAnsiTheme="majorBidi" w:cstheme="majorBidi"/>
          <w:sz w:val="24"/>
          <w:szCs w:val="24"/>
        </w:rPr>
        <w:t>seeking refuge from famine.</w:t>
      </w:r>
      <w:r>
        <w:rPr>
          <w:rFonts w:asciiTheme="majorBidi" w:hAnsiTheme="majorBidi" w:cstheme="majorBidi"/>
          <w:sz w:val="24"/>
          <w:szCs w:val="24"/>
        </w:rPr>
        <w:t xml:space="preserve"> </w:t>
      </w:r>
    </w:p>
    <w:sectPr w:rsidR="003016EA" w:rsidRPr="00AD54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DFEB2" w14:textId="77777777" w:rsidR="003D5B92" w:rsidRDefault="003D5B92" w:rsidP="001767F5">
      <w:pPr>
        <w:spacing w:after="0" w:line="240" w:lineRule="auto"/>
      </w:pPr>
      <w:r>
        <w:separator/>
      </w:r>
    </w:p>
  </w:endnote>
  <w:endnote w:type="continuationSeparator" w:id="0">
    <w:p w14:paraId="4702CF78" w14:textId="77777777" w:rsidR="003D5B92" w:rsidRDefault="003D5B92" w:rsidP="00176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26BC9" w14:textId="77777777" w:rsidR="003D5B92" w:rsidRDefault="003D5B92" w:rsidP="001767F5">
      <w:pPr>
        <w:spacing w:after="0" w:line="240" w:lineRule="auto"/>
      </w:pPr>
      <w:r>
        <w:separator/>
      </w:r>
    </w:p>
  </w:footnote>
  <w:footnote w:type="continuationSeparator" w:id="0">
    <w:p w14:paraId="510BC8A9" w14:textId="77777777" w:rsidR="003D5B92" w:rsidRDefault="003D5B92" w:rsidP="001767F5">
      <w:pPr>
        <w:spacing w:after="0" w:line="240" w:lineRule="auto"/>
      </w:pPr>
      <w:r>
        <w:continuationSeparator/>
      </w:r>
    </w:p>
  </w:footnote>
  <w:footnote w:id="1">
    <w:p w14:paraId="59C3B8F7" w14:textId="3C59BD7D" w:rsidR="001767F5" w:rsidRDefault="001767F5">
      <w:pPr>
        <w:pStyle w:val="FootnoteText"/>
      </w:pPr>
      <w:r>
        <w:rPr>
          <w:rStyle w:val="FootnoteReference"/>
        </w:rPr>
        <w:footnoteRef/>
      </w:r>
      <w:r>
        <w:t xml:space="preserve"> Petrie took the shorter narrative of 100 years for the 9</w:t>
      </w:r>
      <w:r w:rsidRPr="001767F5">
        <w:rPr>
          <w:vertAlign w:val="superscript"/>
        </w:rPr>
        <w:t>th</w:t>
      </w:r>
      <w:r>
        <w:t xml:space="preserve"> dynasty, whereas Boeckh took it for 409. </w:t>
      </w:r>
      <w:r w:rsidR="005B23B4">
        <w:t>We have cropped it by 100 years to 309 to allow for the reduction and maintaining the 12</w:t>
      </w:r>
      <w:r w:rsidR="005B23B4" w:rsidRPr="005B23B4">
        <w:rPr>
          <w:vertAlign w:val="superscript"/>
        </w:rPr>
        <w:t>th</w:t>
      </w:r>
      <w:r w:rsidR="005B23B4">
        <w:t xml:space="preserve"> dynastic matching, </w:t>
      </w:r>
      <w:r>
        <w:t xml:space="preserve">see </w:t>
      </w:r>
      <w:r w:rsidR="001F00C0">
        <w:t xml:space="preserve">Appendix </w:t>
      </w:r>
      <w:r w:rsidR="006407F4">
        <w:t>1</w:t>
      </w:r>
      <w:r w:rsidR="001F00C0">
        <w:t>.</w:t>
      </w:r>
      <w: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0F2"/>
    <w:rsid w:val="001767F5"/>
    <w:rsid w:val="001F00C0"/>
    <w:rsid w:val="003016EA"/>
    <w:rsid w:val="00311F63"/>
    <w:rsid w:val="003D5B92"/>
    <w:rsid w:val="005B23B4"/>
    <w:rsid w:val="00623859"/>
    <w:rsid w:val="006407F4"/>
    <w:rsid w:val="008410F2"/>
    <w:rsid w:val="00AD5462"/>
    <w:rsid w:val="00B9268F"/>
    <w:rsid w:val="00BB30CC"/>
    <w:rsid w:val="00C224A1"/>
    <w:rsid w:val="00C228E9"/>
    <w:rsid w:val="00C7122C"/>
    <w:rsid w:val="00D11C82"/>
    <w:rsid w:val="00D13A2D"/>
    <w:rsid w:val="00DF6312"/>
    <w:rsid w:val="00E26A09"/>
    <w:rsid w:val="00ED44E5"/>
    <w:rsid w:val="00F427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74B53"/>
  <w15:chartTrackingRefBased/>
  <w15:docId w15:val="{3D8E272C-0FCB-4331-82A4-F03998BAB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767F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767F5"/>
    <w:rPr>
      <w:sz w:val="20"/>
      <w:szCs w:val="20"/>
    </w:rPr>
  </w:style>
  <w:style w:type="character" w:styleId="FootnoteReference">
    <w:name w:val="footnote reference"/>
    <w:basedOn w:val="DefaultParagraphFont"/>
    <w:uiPriority w:val="99"/>
    <w:semiHidden/>
    <w:unhideWhenUsed/>
    <w:rsid w:val="001767F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5FFEE-783C-4D3F-B46A-7ABB7261C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226</Words>
  <Characters>1291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Imad Atiqi</dc:creator>
  <cp:keywords/>
  <dc:description/>
  <cp:lastModifiedBy>Imad Atiqi</cp:lastModifiedBy>
  <cp:revision>11</cp:revision>
  <dcterms:created xsi:type="dcterms:W3CDTF">2023-03-12T07:53:00Z</dcterms:created>
  <dcterms:modified xsi:type="dcterms:W3CDTF">2023-03-14T10:44:00Z</dcterms:modified>
</cp:coreProperties>
</file>